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ook w:val="04A0"/>
      </w:tblPr>
      <w:tblGrid>
        <w:gridCol w:w="5637"/>
        <w:gridCol w:w="3402"/>
      </w:tblGrid>
      <w:tr w:rsidR="00CA2649" w:rsidTr="00586DE8">
        <w:trPr>
          <w:trHeight w:val="2126"/>
        </w:trPr>
        <w:tc>
          <w:tcPr>
            <w:tcW w:w="9039" w:type="dxa"/>
            <w:gridSpan w:val="2"/>
            <w:vAlign w:val="bottom"/>
          </w:tcPr>
          <w:p w:rsidR="00CA2649" w:rsidRPr="00CA2649" w:rsidRDefault="00CA2649" w:rsidP="005B2BAF">
            <w:pPr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CA2649">
              <w:rPr>
                <w:rFonts w:ascii="Calibri" w:hAnsi="Calibri" w:cs="Arial"/>
                <w:b/>
                <w:sz w:val="44"/>
                <w:szCs w:val="44"/>
              </w:rPr>
              <w:t>ESTADO DO RIO GRANDE DO SUL</w:t>
            </w:r>
          </w:p>
          <w:p w:rsidR="00CA2649" w:rsidRPr="005B2BAF" w:rsidRDefault="00CA2649" w:rsidP="005B2BA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CA2649" w:rsidRPr="00CA2649" w:rsidRDefault="00CA2649" w:rsidP="005B2BAF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CA2649">
              <w:rPr>
                <w:rFonts w:ascii="Calibri" w:hAnsi="Calibri" w:cs="Arial"/>
                <w:b/>
                <w:sz w:val="36"/>
                <w:szCs w:val="36"/>
              </w:rPr>
              <w:t>PREFEITURA MUNICIPAL DE TAQUARI</w:t>
            </w:r>
          </w:p>
          <w:p w:rsidR="00CA2649" w:rsidRPr="005B2BAF" w:rsidRDefault="00CA2649" w:rsidP="005B2BA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CA2649" w:rsidRPr="00CA2649" w:rsidRDefault="00CA2649" w:rsidP="00CA2649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                      </w:t>
            </w:r>
            <w:r w:rsidRPr="00CA2649">
              <w:rPr>
                <w:rFonts w:ascii="Calibri" w:hAnsi="Calibri" w:cs="Arial"/>
                <w:b/>
                <w:sz w:val="36"/>
                <w:szCs w:val="36"/>
              </w:rPr>
              <w:t>CONTROLE INTERNO</w:t>
            </w:r>
            <w:r w:rsidRPr="00CA2649"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-843915</wp:posOffset>
                  </wp:positionV>
                  <wp:extent cx="752475" cy="781050"/>
                  <wp:effectExtent l="19050" t="0" r="9525" b="0"/>
                  <wp:wrapSquare wrapText="bothSides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1DB9" w:rsidTr="00586DE8">
        <w:tc>
          <w:tcPr>
            <w:tcW w:w="5637" w:type="dxa"/>
            <w:vAlign w:val="center"/>
          </w:tcPr>
          <w:p w:rsidR="00B81DB9" w:rsidRPr="004640ED" w:rsidRDefault="00B81DB9" w:rsidP="00B81DB9">
            <w:pPr>
              <w:jc w:val="center"/>
              <w:rPr>
                <w:b/>
              </w:rPr>
            </w:pPr>
            <w:r w:rsidRPr="004640ED">
              <w:rPr>
                <w:b/>
              </w:rPr>
              <w:t>NORMA INTERNA N°</w:t>
            </w:r>
            <w:r w:rsidR="006870ED">
              <w:rPr>
                <w:b/>
              </w:rPr>
              <w:t xml:space="preserve"> 01/2014</w:t>
            </w:r>
          </w:p>
        </w:tc>
        <w:tc>
          <w:tcPr>
            <w:tcW w:w="3402" w:type="dxa"/>
            <w:vAlign w:val="bottom"/>
          </w:tcPr>
          <w:p w:rsidR="00B81DB9" w:rsidRDefault="00B81DB9" w:rsidP="00B81DB9">
            <w:pPr>
              <w:jc w:val="center"/>
            </w:pPr>
          </w:p>
          <w:p w:rsidR="00B81DB9" w:rsidRPr="004640ED" w:rsidRDefault="00B81DB9" w:rsidP="00B81DB9">
            <w:pPr>
              <w:jc w:val="center"/>
              <w:rPr>
                <w:b/>
              </w:rPr>
            </w:pPr>
            <w:r w:rsidRPr="004640ED">
              <w:rPr>
                <w:b/>
              </w:rPr>
              <w:t>INÍCIO DA VIGÊNCIA:</w:t>
            </w:r>
            <w:r w:rsidR="00D73D1C">
              <w:rPr>
                <w:b/>
              </w:rPr>
              <w:t xml:space="preserve"> 13/01/2015</w:t>
            </w:r>
          </w:p>
          <w:p w:rsidR="00B81DB9" w:rsidRDefault="00B81DB9" w:rsidP="00B81DB9"/>
        </w:tc>
      </w:tr>
      <w:tr w:rsidR="00B81DB9" w:rsidTr="00586DE8">
        <w:trPr>
          <w:trHeight w:val="438"/>
        </w:trPr>
        <w:tc>
          <w:tcPr>
            <w:tcW w:w="9039" w:type="dxa"/>
            <w:gridSpan w:val="2"/>
          </w:tcPr>
          <w:p w:rsidR="00F87247" w:rsidRDefault="00F87247" w:rsidP="006A3E18">
            <w:r>
              <w:t>Assunto: Prestação de contas de subvenções, contribuições e auxílios concedidos a entidades.</w:t>
            </w:r>
          </w:p>
        </w:tc>
      </w:tr>
      <w:tr w:rsidR="00B81DB9" w:rsidTr="00586DE8">
        <w:trPr>
          <w:trHeight w:val="584"/>
        </w:trPr>
        <w:tc>
          <w:tcPr>
            <w:tcW w:w="9039" w:type="dxa"/>
            <w:gridSpan w:val="2"/>
          </w:tcPr>
          <w:p w:rsidR="000D6166" w:rsidRPr="00CA2649" w:rsidRDefault="00F87247" w:rsidP="000D6166">
            <w:pPr>
              <w:jc w:val="both"/>
            </w:pPr>
            <w:r w:rsidRPr="00CA2649">
              <w:t>Setores envolvidos: Secretarias da Administração, Fazenda e demais secretarias que concedam subvenções</w:t>
            </w:r>
            <w:r w:rsidR="00CA2649" w:rsidRPr="00CA2649">
              <w:t>.</w:t>
            </w:r>
          </w:p>
        </w:tc>
      </w:tr>
    </w:tbl>
    <w:p w:rsidR="00EF2C7C" w:rsidRDefault="00EF2C7C" w:rsidP="00A52ACB">
      <w:pPr>
        <w:spacing w:line="72" w:lineRule="auto"/>
      </w:pPr>
    </w:p>
    <w:tbl>
      <w:tblPr>
        <w:tblStyle w:val="Tabelacomgrade"/>
        <w:tblW w:w="9039" w:type="dxa"/>
        <w:tblLook w:val="04A0"/>
      </w:tblPr>
      <w:tblGrid>
        <w:gridCol w:w="9039"/>
      </w:tblGrid>
      <w:tr w:rsidR="000D6E17" w:rsidTr="00586DE8">
        <w:trPr>
          <w:trHeight w:val="7855"/>
        </w:trPr>
        <w:tc>
          <w:tcPr>
            <w:tcW w:w="9039" w:type="dxa"/>
          </w:tcPr>
          <w:p w:rsidR="000D6E17" w:rsidRPr="000A2F64" w:rsidRDefault="000D6E17" w:rsidP="000D6E17">
            <w:pPr>
              <w:pStyle w:val="Ttulo2"/>
              <w:jc w:val="left"/>
              <w:outlineLvl w:val="1"/>
              <w:rPr>
                <w:rFonts w:ascii="Calibri" w:hAnsi="Calibri"/>
                <w:sz w:val="22"/>
              </w:rPr>
            </w:pPr>
            <w:r w:rsidRPr="000A2F64">
              <w:rPr>
                <w:rFonts w:ascii="Calibri" w:hAnsi="Calibri"/>
                <w:sz w:val="22"/>
              </w:rPr>
              <w:t>1 - DOS OBJETIVOS</w:t>
            </w:r>
          </w:p>
          <w:p w:rsidR="000D6E17" w:rsidRPr="000A2F64" w:rsidRDefault="000D6E17" w:rsidP="000D6E17">
            <w:pPr>
              <w:pStyle w:val="Corpodetexto"/>
              <w:spacing w:line="360" w:lineRule="auto"/>
              <w:ind w:left="540"/>
              <w:jc w:val="both"/>
              <w:rPr>
                <w:rFonts w:ascii="Calibri" w:hAnsi="Calibri" w:cs="Arial"/>
                <w:b w:val="0"/>
                <w:bCs w:val="0"/>
                <w:sz w:val="22"/>
              </w:rPr>
            </w:pPr>
            <w:r w:rsidRPr="000A2F64">
              <w:rPr>
                <w:rFonts w:ascii="Calibri" w:hAnsi="Calibri" w:cs="Arial"/>
                <w:noProof/>
                <w:sz w:val="22"/>
              </w:rPr>
              <w:t>a)</w:t>
            </w:r>
            <w:r w:rsidRPr="000A2F64">
              <w:rPr>
                <w:rFonts w:ascii="Calibri" w:hAnsi="Calibri" w:cs="Arial"/>
                <w:b w:val="0"/>
                <w:bCs w:val="0"/>
                <w:noProof/>
                <w:sz w:val="22"/>
              </w:rPr>
              <w:t xml:space="preserve"> Regulamentar o processo de Prestação de Contas das subvenções, contribuições e auxílios, estabelecendo procedimentos padronizados que facilitarão tanto o processo de prestação de contas pela entidade, quanto a conferência e controle por parte do Poder Público.</w:t>
            </w:r>
          </w:p>
          <w:p w:rsidR="000D6E17" w:rsidRPr="000A2F64" w:rsidRDefault="000D6E17" w:rsidP="000D6E17">
            <w:pPr>
              <w:spacing w:line="360" w:lineRule="auto"/>
              <w:jc w:val="both"/>
              <w:rPr>
                <w:rFonts w:ascii="Calibri" w:hAnsi="Calibri" w:cs="Arial"/>
                <w:b/>
                <w:bCs/>
                <w:noProof/>
              </w:rPr>
            </w:pPr>
            <w:r w:rsidRPr="000A2F64">
              <w:rPr>
                <w:rFonts w:ascii="Calibri" w:hAnsi="Calibri" w:cs="Arial"/>
                <w:b/>
                <w:bCs/>
                <w:noProof/>
              </w:rPr>
              <w:t>2- DOS ASPECTOS CONCEITUAIS</w:t>
            </w:r>
          </w:p>
          <w:p w:rsidR="000D6E17" w:rsidRPr="000A2F64" w:rsidRDefault="000D6E17" w:rsidP="000D6E17">
            <w:pPr>
              <w:spacing w:line="360" w:lineRule="auto"/>
              <w:ind w:left="540"/>
              <w:jc w:val="both"/>
              <w:rPr>
                <w:rFonts w:ascii="Calibri" w:hAnsi="Calibri" w:cs="Arial"/>
                <w:noProof/>
              </w:rPr>
            </w:pPr>
            <w:r w:rsidRPr="000A2F64">
              <w:rPr>
                <w:rFonts w:ascii="Calibri" w:hAnsi="Calibri" w:cs="Arial"/>
                <w:b/>
                <w:bCs/>
                <w:noProof/>
              </w:rPr>
              <w:t>2.1</w:t>
            </w:r>
            <w:r w:rsidRPr="000A2F64">
              <w:rPr>
                <w:rFonts w:ascii="Calibri" w:hAnsi="Calibri" w:cs="Arial"/>
                <w:noProof/>
              </w:rPr>
              <w:t xml:space="preserve"> Baseando-se no que dispõe a Lei 4.320/64 em seu art. 16 associada à Portaria Interministerial STN/SOF, nº 163 de 04 de maio de 2003 e posteriores alterações e aos preceitos constitucionais define-se como:</w:t>
            </w:r>
          </w:p>
          <w:p w:rsidR="000D6E17" w:rsidRPr="000A2F64" w:rsidRDefault="000D6E17" w:rsidP="00A52ACB">
            <w:pPr>
              <w:spacing w:line="360" w:lineRule="auto"/>
              <w:ind w:left="567"/>
              <w:jc w:val="both"/>
              <w:rPr>
                <w:rFonts w:ascii="Calibri" w:hAnsi="Calibri" w:cs="Arial"/>
              </w:rPr>
            </w:pPr>
            <w:r w:rsidRPr="000A2F64">
              <w:rPr>
                <w:rFonts w:ascii="Calibri" w:hAnsi="Calibri" w:cs="Arial"/>
              </w:rPr>
              <w:t>I -</w:t>
            </w:r>
            <w:r w:rsidRPr="000A2F64">
              <w:rPr>
                <w:rFonts w:ascii="Calibri" w:hAnsi="Calibri" w:cs="Arial"/>
                <w:i/>
                <w:iCs/>
              </w:rPr>
              <w:t xml:space="preserve"> Subvenções</w:t>
            </w:r>
            <w:r w:rsidRPr="000A2F64">
              <w:rPr>
                <w:rFonts w:ascii="Calibri" w:hAnsi="Calibri" w:cs="Arial"/>
              </w:rPr>
              <w:t>: concessão de recursos visando à prestação de serviços essenciais de assistência social, médica e educacional, sempre a suplementação de recursos de origem privada aplicados a esses objetivos revelar-se mais econômica.</w:t>
            </w:r>
          </w:p>
          <w:p w:rsidR="000D6E17" w:rsidRPr="000A2F64" w:rsidRDefault="000D6E17" w:rsidP="000D6E17">
            <w:pPr>
              <w:spacing w:line="360" w:lineRule="auto"/>
              <w:ind w:left="540"/>
              <w:jc w:val="both"/>
              <w:rPr>
                <w:rFonts w:ascii="Calibri" w:hAnsi="Calibri" w:cs="Arial"/>
              </w:rPr>
            </w:pPr>
            <w:r w:rsidRPr="000A2F64">
              <w:rPr>
                <w:rFonts w:ascii="Calibri" w:hAnsi="Calibri" w:cs="Arial"/>
              </w:rPr>
              <w:t xml:space="preserve">II – </w:t>
            </w:r>
            <w:r w:rsidRPr="000A2F64">
              <w:rPr>
                <w:rFonts w:ascii="Calibri" w:hAnsi="Calibri" w:cs="Arial"/>
                <w:i/>
                <w:iCs/>
              </w:rPr>
              <w:t>Contribuições</w:t>
            </w:r>
            <w:r w:rsidRPr="000A2F64">
              <w:rPr>
                <w:rFonts w:ascii="Calibri" w:hAnsi="Calibri" w:cs="Arial"/>
              </w:rPr>
              <w:t>: transferência de recursos destinados a atender despesas de manutenção de outras entidades de direito público e privado, cujas atividades não se enquadrem naquelas típicas de subvenções sociais.</w:t>
            </w:r>
          </w:p>
          <w:p w:rsidR="000D6E17" w:rsidRPr="000A2F64" w:rsidRDefault="000D6E17" w:rsidP="000D6E17">
            <w:pPr>
              <w:spacing w:line="360" w:lineRule="auto"/>
              <w:ind w:left="540"/>
              <w:jc w:val="both"/>
              <w:rPr>
                <w:rFonts w:ascii="Calibri" w:hAnsi="Calibri" w:cs="Arial"/>
              </w:rPr>
            </w:pPr>
            <w:r w:rsidRPr="000A2F64">
              <w:rPr>
                <w:rFonts w:ascii="Calibri" w:hAnsi="Calibri" w:cs="Arial"/>
              </w:rPr>
              <w:t xml:space="preserve">III - </w:t>
            </w:r>
            <w:r w:rsidRPr="000A2F64">
              <w:rPr>
                <w:rFonts w:ascii="Calibri" w:hAnsi="Calibri" w:cs="Arial"/>
                <w:i/>
                <w:iCs/>
              </w:rPr>
              <w:t>Auxílios</w:t>
            </w:r>
            <w:r w:rsidRPr="000A2F64">
              <w:rPr>
                <w:rFonts w:ascii="Calibri" w:hAnsi="Calibri" w:cs="Arial"/>
              </w:rPr>
              <w:t>: a transferência de recursos, de natureza de capital, destinados a atender a despesas de investimentos ou inversões financeiras de outras esferas de governo ou de entidades privadas sem fins lucrativos.</w:t>
            </w:r>
          </w:p>
          <w:p w:rsidR="00D45BCA" w:rsidRDefault="003731FF" w:rsidP="00D45BCA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</w:t>
            </w:r>
            <w:r w:rsidR="000D6E17" w:rsidRPr="000A2F64">
              <w:rPr>
                <w:rFonts w:ascii="Calibri" w:hAnsi="Calibri" w:cs="Arial"/>
                <w:b/>
                <w:bCs/>
              </w:rPr>
              <w:t xml:space="preserve">2.2 </w:t>
            </w:r>
            <w:r w:rsidR="000D6E17" w:rsidRPr="000A2F64">
              <w:rPr>
                <w:rFonts w:ascii="Calibri" w:hAnsi="Calibri" w:cs="Arial"/>
              </w:rPr>
              <w:t xml:space="preserve">Em consonância com o que dispõe o art. 116 da Lei 8.666/93 as entidades que firmarem </w:t>
            </w:r>
            <w:r>
              <w:rPr>
                <w:rFonts w:ascii="Calibri" w:hAnsi="Calibri" w:cs="Arial"/>
              </w:rPr>
              <w:t xml:space="preserve">        </w:t>
            </w:r>
          </w:p>
          <w:p w:rsidR="00DC43C5" w:rsidRDefault="003731FF" w:rsidP="00A52ACB">
            <w:r>
              <w:rPr>
                <w:rFonts w:ascii="Calibri" w:hAnsi="Calibri" w:cs="Arial"/>
              </w:rPr>
              <w:t xml:space="preserve">           </w:t>
            </w:r>
            <w:proofErr w:type="gramStart"/>
            <w:r>
              <w:rPr>
                <w:rFonts w:ascii="Calibri" w:hAnsi="Calibri" w:cs="Arial"/>
              </w:rPr>
              <w:t>c</w:t>
            </w:r>
            <w:r w:rsidRPr="000A2F64">
              <w:rPr>
                <w:rFonts w:ascii="Calibri" w:hAnsi="Calibri" w:cs="Arial"/>
              </w:rPr>
              <w:t>onvênio</w:t>
            </w:r>
            <w:proofErr w:type="gramEnd"/>
            <w:r w:rsidRPr="000A2F64">
              <w:rPr>
                <w:rFonts w:ascii="Calibri" w:hAnsi="Calibri" w:cs="Arial"/>
              </w:rPr>
              <w:t xml:space="preserve"> com o município, em decorrência de interesses comuns, deverão</w:t>
            </w:r>
            <w:r>
              <w:rPr>
                <w:rFonts w:ascii="Calibri" w:hAnsi="Calibri" w:cs="Arial"/>
              </w:rPr>
              <w:t xml:space="preserve"> apresentar</w:t>
            </w:r>
          </w:p>
        </w:tc>
      </w:tr>
    </w:tbl>
    <w:p w:rsidR="00EF2C7C" w:rsidRDefault="00EF2C7C" w:rsidP="006A3E18"/>
    <w:tbl>
      <w:tblPr>
        <w:tblStyle w:val="Tabelacomgrade"/>
        <w:tblW w:w="9039" w:type="dxa"/>
        <w:tblLook w:val="04A0"/>
      </w:tblPr>
      <w:tblGrid>
        <w:gridCol w:w="4503"/>
        <w:gridCol w:w="4536"/>
      </w:tblGrid>
      <w:tr w:rsidR="00A52ACB" w:rsidTr="00586DE8">
        <w:trPr>
          <w:trHeight w:val="827"/>
        </w:trPr>
        <w:tc>
          <w:tcPr>
            <w:tcW w:w="4503" w:type="dxa"/>
          </w:tcPr>
          <w:p w:rsidR="00A52ACB" w:rsidRDefault="00A52ACB" w:rsidP="006A3E18"/>
          <w:p w:rsidR="00A52ACB" w:rsidRDefault="00BC45A2" w:rsidP="006A3E18">
            <w:r>
              <w:rPr>
                <w:noProof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.45pt;margin-top:7.95pt;width:186pt;height:0;flip:x;z-index:251659264" o:connectortype="straight"/>
              </w:pict>
            </w:r>
          </w:p>
          <w:p w:rsidR="00A52ACB" w:rsidRDefault="006870ED" w:rsidP="00A52ACB">
            <w:pPr>
              <w:jc w:val="center"/>
            </w:pPr>
            <w:r>
              <w:t>UNIDADE CENTRAL</w:t>
            </w:r>
            <w:r w:rsidR="00A52ACB">
              <w:t xml:space="preserve"> DE CONTROLE INTERNO</w:t>
            </w:r>
          </w:p>
        </w:tc>
        <w:tc>
          <w:tcPr>
            <w:tcW w:w="4536" w:type="dxa"/>
          </w:tcPr>
          <w:p w:rsidR="00A52ACB" w:rsidRDefault="00A52ACB" w:rsidP="006A3E18"/>
          <w:p w:rsidR="00A52ACB" w:rsidRDefault="00BC45A2" w:rsidP="00A52ACB">
            <w:pPr>
              <w:jc w:val="center"/>
            </w:pPr>
            <w:r>
              <w:rPr>
                <w:noProof/>
                <w:lang w:eastAsia="pt-BR"/>
              </w:rPr>
              <w:pict>
                <v:shape id="_x0000_s1028" type="#_x0000_t32" style="position:absolute;left:0;text-align:left;margin-left:20.6pt;margin-top:7.95pt;width:172.5pt;height:0;z-index:251660288" o:connectortype="straight"/>
              </w:pict>
            </w:r>
          </w:p>
          <w:p w:rsidR="00A52ACB" w:rsidRDefault="00A52ACB" w:rsidP="00A52ACB">
            <w:pPr>
              <w:jc w:val="center"/>
            </w:pPr>
            <w:r>
              <w:t>VISTO DO PREFEITO MUNICIPAL</w:t>
            </w:r>
          </w:p>
        </w:tc>
      </w:tr>
    </w:tbl>
    <w:p w:rsidR="00A52ACB" w:rsidRDefault="00A52ACB" w:rsidP="006A3E18"/>
    <w:tbl>
      <w:tblPr>
        <w:tblStyle w:val="Tabelacomgrade"/>
        <w:tblW w:w="9039" w:type="dxa"/>
        <w:tblLook w:val="04A0"/>
      </w:tblPr>
      <w:tblGrid>
        <w:gridCol w:w="9039"/>
      </w:tblGrid>
      <w:tr w:rsidR="002B7825" w:rsidTr="00586DE8">
        <w:trPr>
          <w:trHeight w:val="12048"/>
        </w:trPr>
        <w:tc>
          <w:tcPr>
            <w:tcW w:w="9039" w:type="dxa"/>
          </w:tcPr>
          <w:p w:rsidR="002B7825" w:rsidRPr="002B7825" w:rsidRDefault="002B7825" w:rsidP="002B7825">
            <w:pPr>
              <w:spacing w:line="360" w:lineRule="auto"/>
              <w:ind w:left="540"/>
              <w:jc w:val="both"/>
              <w:rPr>
                <w:rFonts w:cs="Arial"/>
              </w:rPr>
            </w:pPr>
            <w:proofErr w:type="gramStart"/>
            <w:r w:rsidRPr="002B7825">
              <w:rPr>
                <w:rFonts w:cs="Arial"/>
              </w:rPr>
              <w:lastRenderedPageBreak/>
              <w:t>previamente</w:t>
            </w:r>
            <w:proofErr w:type="gramEnd"/>
            <w:r w:rsidRPr="002B7825">
              <w:rPr>
                <w:rFonts w:cs="Arial"/>
              </w:rPr>
              <w:t xml:space="preserve"> plano de aplicação, sendo, posteriormente realizada a prestação de contas das parcelas liberadas, sendo que, em havendo impropriedades em relação aos termos da Lei Específica que autorizou o repasse ou aos termos do Convênio, as mesmas ficarão retidas, assegurando o princípio da legalidade e, também, da eficiência da gestão.</w:t>
            </w:r>
          </w:p>
          <w:p w:rsidR="002B7825" w:rsidRPr="002B7825" w:rsidRDefault="002B7825" w:rsidP="002B7825">
            <w:pPr>
              <w:pStyle w:val="Ttulo2"/>
              <w:jc w:val="left"/>
              <w:outlineLvl w:val="1"/>
              <w:rPr>
                <w:rFonts w:asciiTheme="minorHAnsi" w:hAnsiTheme="minorHAnsi"/>
                <w:sz w:val="22"/>
              </w:rPr>
            </w:pPr>
            <w:r w:rsidRPr="002B7825">
              <w:rPr>
                <w:rFonts w:asciiTheme="minorHAnsi" w:hAnsiTheme="minorHAnsi"/>
                <w:sz w:val="22"/>
              </w:rPr>
              <w:t>3-   DOS PROCEDIMENTOS</w:t>
            </w:r>
          </w:p>
          <w:p w:rsidR="002B7825" w:rsidRPr="002B7825" w:rsidRDefault="002B7825" w:rsidP="002B7825">
            <w:pPr>
              <w:spacing w:line="360" w:lineRule="auto"/>
              <w:jc w:val="both"/>
              <w:rPr>
                <w:rFonts w:cs="Arial"/>
                <w:noProof/>
              </w:rPr>
            </w:pPr>
            <w:r w:rsidRPr="002B7825">
              <w:rPr>
                <w:rFonts w:cs="Arial"/>
                <w:b/>
                <w:bCs/>
                <w:noProof/>
              </w:rPr>
              <w:t xml:space="preserve">       3.1  DO PROCESSO DE PRESTAÇÃO DE CONTAS</w:t>
            </w:r>
          </w:p>
          <w:p w:rsidR="002B7825" w:rsidRPr="002B7825" w:rsidRDefault="002B7825" w:rsidP="002B7825">
            <w:pPr>
              <w:spacing w:line="360" w:lineRule="auto"/>
              <w:ind w:left="539"/>
              <w:jc w:val="both"/>
              <w:rPr>
                <w:rFonts w:cs="Arial"/>
                <w:noProof/>
              </w:rPr>
            </w:pPr>
            <w:r w:rsidRPr="002B7825">
              <w:rPr>
                <w:rFonts w:cs="Arial"/>
                <w:b/>
                <w:bCs/>
              </w:rPr>
              <w:t>3.1.1</w:t>
            </w:r>
            <w:r w:rsidRPr="002B7825">
              <w:rPr>
                <w:rFonts w:cs="Arial"/>
              </w:rPr>
              <w:t xml:space="preserve"> – </w:t>
            </w:r>
            <w:r w:rsidRPr="002B7825">
              <w:rPr>
                <w:rFonts w:cs="Arial"/>
                <w:noProof/>
              </w:rPr>
              <w:t>A prestação de contas dos recursos conveniados deverá obedecer os prazos estabelecidos na Lei Específica e apresentar a seguinte documentação.</w:t>
            </w:r>
          </w:p>
          <w:p w:rsidR="002B7825" w:rsidRPr="002B7825" w:rsidRDefault="002B7825" w:rsidP="002B7825">
            <w:pPr>
              <w:spacing w:line="360" w:lineRule="auto"/>
              <w:ind w:left="539"/>
              <w:jc w:val="both"/>
              <w:rPr>
                <w:rFonts w:cs="Arial"/>
                <w:noProof/>
              </w:rPr>
            </w:pPr>
            <w:r w:rsidRPr="002B7825">
              <w:rPr>
                <w:rFonts w:cs="Arial"/>
                <w:b/>
                <w:bCs/>
              </w:rPr>
              <w:t xml:space="preserve">I </w:t>
            </w:r>
            <w:r w:rsidRPr="002B7825">
              <w:rPr>
                <w:rFonts w:cs="Arial"/>
                <w:noProof/>
              </w:rPr>
              <w:t>– extrato bancário da conta onde os recursos foram depositados, em caso da exigência da abertura de conta para liberação do recurso na Lei Específica que concedeu o benefício;</w:t>
            </w:r>
          </w:p>
          <w:p w:rsidR="002B7825" w:rsidRPr="002B7825" w:rsidRDefault="002B7825" w:rsidP="002B7825">
            <w:pPr>
              <w:spacing w:line="360" w:lineRule="auto"/>
              <w:ind w:left="539"/>
              <w:jc w:val="both"/>
              <w:rPr>
                <w:rFonts w:cs="Arial"/>
                <w:noProof/>
              </w:rPr>
            </w:pPr>
            <w:r w:rsidRPr="002B7825">
              <w:rPr>
                <w:rFonts w:cs="Arial"/>
                <w:b/>
                <w:bCs/>
              </w:rPr>
              <w:t xml:space="preserve">II </w:t>
            </w:r>
            <w:r w:rsidRPr="002B7825">
              <w:rPr>
                <w:rFonts w:cs="Arial"/>
                <w:noProof/>
              </w:rPr>
              <w:t xml:space="preserve">– preenchimento do </w:t>
            </w:r>
            <w:r w:rsidRPr="002B7825">
              <w:rPr>
                <w:rFonts w:cs="Arial"/>
                <w:b/>
                <w:bCs/>
                <w:noProof/>
              </w:rPr>
              <w:t>ANEXO I</w:t>
            </w:r>
            <w:r w:rsidRPr="002B7825">
              <w:rPr>
                <w:rFonts w:cs="Arial"/>
                <w:noProof/>
              </w:rPr>
              <w:t>, com a relação do  recurso recebido e sua movimentação de forma a evidenciar o saldo bancário ou saldo em caixa, bem como evidenciando de forma analítica os pagamentos efetuados.</w:t>
            </w:r>
          </w:p>
          <w:p w:rsidR="002B7825" w:rsidRPr="002B7825" w:rsidRDefault="002B7825" w:rsidP="002B7825">
            <w:pPr>
              <w:spacing w:line="360" w:lineRule="auto"/>
              <w:ind w:left="539"/>
              <w:jc w:val="both"/>
              <w:rPr>
                <w:rFonts w:cs="Arial"/>
                <w:noProof/>
              </w:rPr>
            </w:pPr>
            <w:r w:rsidRPr="002B7825">
              <w:rPr>
                <w:rFonts w:cs="Arial"/>
                <w:b/>
                <w:bCs/>
              </w:rPr>
              <w:t xml:space="preserve">III </w:t>
            </w:r>
            <w:r w:rsidRPr="002B7825">
              <w:rPr>
                <w:rFonts w:cs="Arial"/>
                <w:noProof/>
              </w:rPr>
              <w:t>– apresentação da documentação comprobatória dos pagamentos abrangendo:</w:t>
            </w:r>
          </w:p>
          <w:p w:rsidR="002B7825" w:rsidRPr="002B7825" w:rsidRDefault="002B7825" w:rsidP="002B7825">
            <w:pPr>
              <w:spacing w:line="360" w:lineRule="auto"/>
              <w:ind w:left="539"/>
              <w:jc w:val="both"/>
              <w:rPr>
                <w:rFonts w:cs="Arial"/>
              </w:rPr>
            </w:pPr>
            <w:r w:rsidRPr="002B7825">
              <w:rPr>
                <w:rFonts w:cs="Arial"/>
                <w:b/>
                <w:bCs/>
              </w:rPr>
              <w:t xml:space="preserve">a) </w:t>
            </w:r>
            <w:r w:rsidRPr="002B7825">
              <w:rPr>
                <w:rFonts w:cs="Arial"/>
              </w:rPr>
              <w:t>para o caso de abertura de conta bancária exigida na Lei que concedeu o benefício, deverá acompanhar a prestação de contas, além do extrato bancário as cópias de cheque relativas aos pagamentos realizados, os quais deverão estar nominais a empresa ou ao profissional autônomo contratado;</w:t>
            </w:r>
          </w:p>
          <w:p w:rsidR="002B7825" w:rsidRPr="002B7825" w:rsidRDefault="002B7825" w:rsidP="002B7825">
            <w:pPr>
              <w:spacing w:line="360" w:lineRule="auto"/>
              <w:ind w:left="539"/>
              <w:jc w:val="both"/>
              <w:rPr>
                <w:rFonts w:cs="Arial"/>
                <w:b/>
                <w:color w:val="FF0000"/>
              </w:rPr>
            </w:pPr>
            <w:r w:rsidRPr="002B7825">
              <w:rPr>
                <w:rFonts w:cs="Arial"/>
                <w:b/>
                <w:bCs/>
              </w:rPr>
              <w:t xml:space="preserve">b) </w:t>
            </w:r>
            <w:r w:rsidRPr="002B7825">
              <w:rPr>
                <w:rFonts w:cs="Arial"/>
              </w:rPr>
              <w:t>os documentos comprobatórios dos gastos: notas fiscais</w:t>
            </w:r>
            <w:proofErr w:type="gramStart"/>
            <w:r w:rsidRPr="002B7825">
              <w:rPr>
                <w:rFonts w:cs="Arial"/>
              </w:rPr>
              <w:t>, guias</w:t>
            </w:r>
            <w:proofErr w:type="gramEnd"/>
            <w:r w:rsidRPr="002B7825">
              <w:rPr>
                <w:rFonts w:cs="Arial"/>
              </w:rPr>
              <w:t xml:space="preserve"> de impostos, recibos de pagamento a autônomos RPA(s), recibo simples e outros documentos revestidos de idoneidade. </w:t>
            </w:r>
          </w:p>
          <w:p w:rsidR="002B7825" w:rsidRPr="002B7825" w:rsidRDefault="002B7825" w:rsidP="002B7825">
            <w:pPr>
              <w:spacing w:line="360" w:lineRule="auto"/>
              <w:ind w:left="539"/>
              <w:jc w:val="both"/>
              <w:rPr>
                <w:rFonts w:cs="Arial"/>
                <w:b/>
                <w:bCs/>
              </w:rPr>
            </w:pPr>
            <w:r w:rsidRPr="002B7825">
              <w:rPr>
                <w:rFonts w:cs="Arial"/>
                <w:b/>
                <w:bCs/>
              </w:rPr>
              <w:t>Observações:</w:t>
            </w:r>
          </w:p>
          <w:p w:rsidR="002B7825" w:rsidRDefault="002B7825" w:rsidP="002B7825">
            <w:pPr>
              <w:spacing w:line="360" w:lineRule="auto"/>
              <w:ind w:left="539"/>
              <w:jc w:val="both"/>
              <w:rPr>
                <w:rFonts w:cs="Arial"/>
              </w:rPr>
            </w:pPr>
            <w:r w:rsidRPr="002B7825">
              <w:rPr>
                <w:rFonts w:cs="Arial"/>
              </w:rPr>
              <w:t xml:space="preserve">- Para o caso de serviços prestados por pessoas físicas será aceito somente o Recibo de Pagamento a Autônomo (RPA), com os devidos descontos legais de INSS e ISS. Caso o prestador de serviços já pagar INSS por outra fonte fazer declaração assinada pela empresa ou profissional contador. Da mesma forma, caso o prestador de serviços já possuir alvará no Município apresentar cópia do mesmo ou declaração de que possui alvará e já contribui com o ISS. </w:t>
            </w:r>
          </w:p>
          <w:p w:rsidR="00D45BCA" w:rsidRPr="002B7825" w:rsidRDefault="002B7825" w:rsidP="00D45BCA">
            <w:pPr>
              <w:spacing w:line="360" w:lineRule="auto"/>
              <w:ind w:left="539"/>
              <w:jc w:val="both"/>
              <w:rPr>
                <w:rFonts w:cs="Arial"/>
              </w:rPr>
            </w:pPr>
            <w:r w:rsidRPr="002B7825">
              <w:rPr>
                <w:rFonts w:cs="Arial"/>
              </w:rPr>
              <w:t>- Para o caso de contratação de pessoas jurídicas somente será aceito Nota Fiscal</w:t>
            </w:r>
          </w:p>
          <w:p w:rsidR="00586DE8" w:rsidRDefault="00586DE8" w:rsidP="006A3E18"/>
        </w:tc>
      </w:tr>
    </w:tbl>
    <w:p w:rsidR="00A52ACB" w:rsidRDefault="00A52ACB" w:rsidP="006A3E18"/>
    <w:tbl>
      <w:tblPr>
        <w:tblStyle w:val="Tabelacomgrade"/>
        <w:tblW w:w="9039" w:type="dxa"/>
        <w:tblLook w:val="04A0"/>
      </w:tblPr>
      <w:tblGrid>
        <w:gridCol w:w="4644"/>
        <w:gridCol w:w="4395"/>
      </w:tblGrid>
      <w:tr w:rsidR="002B7825" w:rsidTr="00586DE8">
        <w:trPr>
          <w:trHeight w:val="827"/>
        </w:trPr>
        <w:tc>
          <w:tcPr>
            <w:tcW w:w="4644" w:type="dxa"/>
          </w:tcPr>
          <w:p w:rsidR="002B7825" w:rsidRDefault="002B7825" w:rsidP="00574E28"/>
          <w:p w:rsidR="002B7825" w:rsidRDefault="00BC45A2" w:rsidP="00574E28">
            <w:r>
              <w:rPr>
                <w:noProof/>
                <w:lang w:eastAsia="pt-BR"/>
              </w:rPr>
              <w:pict>
                <v:shape id="_x0000_s1029" type="#_x0000_t32" style="position:absolute;margin-left:9.45pt;margin-top:7.95pt;width:186pt;height:0;flip:x;z-index:251664384" o:connectortype="straight"/>
              </w:pict>
            </w:r>
          </w:p>
          <w:p w:rsidR="002B7825" w:rsidRDefault="006870ED" w:rsidP="00574E28">
            <w:pPr>
              <w:jc w:val="center"/>
            </w:pPr>
            <w:r>
              <w:t>UNIDADE CENTRAL DE CONTROLE INTERNO</w:t>
            </w:r>
          </w:p>
        </w:tc>
        <w:tc>
          <w:tcPr>
            <w:tcW w:w="4395" w:type="dxa"/>
          </w:tcPr>
          <w:p w:rsidR="002B7825" w:rsidRDefault="002B7825" w:rsidP="00574E28"/>
          <w:p w:rsidR="002B7825" w:rsidRDefault="00BC45A2" w:rsidP="00574E28">
            <w:pPr>
              <w:jc w:val="center"/>
            </w:pPr>
            <w:r>
              <w:rPr>
                <w:noProof/>
                <w:lang w:eastAsia="pt-BR"/>
              </w:rPr>
              <w:pict>
                <v:shape id="_x0000_s1030" type="#_x0000_t32" style="position:absolute;left:0;text-align:left;margin-left:20.6pt;margin-top:7.95pt;width:172.5pt;height:0;z-index:251665408" o:connectortype="straight"/>
              </w:pict>
            </w:r>
          </w:p>
          <w:p w:rsidR="002B7825" w:rsidRDefault="002B7825" w:rsidP="00574E28">
            <w:pPr>
              <w:jc w:val="center"/>
            </w:pPr>
            <w:r>
              <w:t>VISTO DO PREFEITO MUNICIPAL</w:t>
            </w:r>
          </w:p>
        </w:tc>
      </w:tr>
    </w:tbl>
    <w:p w:rsidR="002B7825" w:rsidRDefault="002B7825" w:rsidP="006A3E18"/>
    <w:tbl>
      <w:tblPr>
        <w:tblStyle w:val="Tabelacomgrade"/>
        <w:tblW w:w="9039" w:type="dxa"/>
        <w:tblLook w:val="04A0"/>
      </w:tblPr>
      <w:tblGrid>
        <w:gridCol w:w="9039"/>
      </w:tblGrid>
      <w:tr w:rsidR="002B15E5" w:rsidTr="00586DE8">
        <w:trPr>
          <w:trHeight w:val="11358"/>
        </w:trPr>
        <w:tc>
          <w:tcPr>
            <w:tcW w:w="9039" w:type="dxa"/>
          </w:tcPr>
          <w:p w:rsidR="002B15E5" w:rsidRPr="002B15E5" w:rsidRDefault="002B15E5" w:rsidP="002B15E5">
            <w:pPr>
              <w:spacing w:line="360" w:lineRule="auto"/>
              <w:ind w:left="539"/>
              <w:jc w:val="both"/>
              <w:rPr>
                <w:rFonts w:ascii="Calibri" w:hAnsi="Calibri" w:cs="Arial"/>
              </w:rPr>
            </w:pPr>
            <w:r w:rsidRPr="002B15E5">
              <w:rPr>
                <w:rFonts w:ascii="Calibri" w:hAnsi="Calibri" w:cs="Arial"/>
              </w:rPr>
              <w:lastRenderedPageBreak/>
              <w:t>- Para o caso de contratação de entidades será aceito recibo simples devidamente preenchidos e assinados, desde que os serviços prestados tenham compatibilidade com as finalidades estatutárias da entidade.</w:t>
            </w:r>
          </w:p>
          <w:p w:rsidR="002B15E5" w:rsidRPr="002B15E5" w:rsidRDefault="002B15E5" w:rsidP="002B15E5">
            <w:pPr>
              <w:spacing w:line="360" w:lineRule="auto"/>
              <w:ind w:left="539"/>
              <w:jc w:val="both"/>
              <w:rPr>
                <w:rFonts w:ascii="Calibri" w:hAnsi="Calibri" w:cs="Arial"/>
              </w:rPr>
            </w:pPr>
            <w:r w:rsidRPr="002B15E5">
              <w:rPr>
                <w:rFonts w:ascii="Calibri" w:hAnsi="Calibri" w:cs="Arial"/>
              </w:rPr>
              <w:t xml:space="preserve">-As datas dos documentos deverão </w:t>
            </w:r>
            <w:proofErr w:type="gramStart"/>
            <w:r w:rsidRPr="002B15E5">
              <w:rPr>
                <w:rFonts w:ascii="Calibri" w:hAnsi="Calibri" w:cs="Arial"/>
              </w:rPr>
              <w:t>ser,</w:t>
            </w:r>
            <w:proofErr w:type="gramEnd"/>
            <w:r w:rsidRPr="002B15E5">
              <w:rPr>
                <w:rFonts w:ascii="Calibri" w:hAnsi="Calibri" w:cs="Arial"/>
              </w:rPr>
              <w:t xml:space="preserve"> obrigatoriamente, posteriores à da liberação dos recursos, aceitando-se documentos com datas anteriores somente se o recurso for liberado em data posterior à especificada na Lei. Neste caso, de qualquer forma, as datas dos documentos não poderão ser anteriores aquela especificada na Legis</w:t>
            </w:r>
            <w:r w:rsidR="00EB09FC">
              <w:rPr>
                <w:rFonts w:ascii="Calibri" w:hAnsi="Calibri" w:cs="Arial"/>
              </w:rPr>
              <w:t>lação para liberação do recurso, e também não poder</w:t>
            </w:r>
            <w:r w:rsidR="00B17DC9">
              <w:rPr>
                <w:rFonts w:ascii="Calibri" w:hAnsi="Calibri" w:cs="Arial"/>
              </w:rPr>
              <w:t>ão ser com data posterior ao término do objeto do convênio.</w:t>
            </w:r>
          </w:p>
          <w:p w:rsidR="002B15E5" w:rsidRPr="002B15E5" w:rsidRDefault="002B15E5" w:rsidP="003731FF">
            <w:pPr>
              <w:spacing w:line="360" w:lineRule="auto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w:t xml:space="preserve">           </w:t>
            </w:r>
            <w:r w:rsidRPr="002B15E5">
              <w:rPr>
                <w:rFonts w:ascii="Calibri" w:hAnsi="Calibri" w:cs="Arial"/>
                <w:noProof/>
              </w:rPr>
              <w:t>-A falta de documentação ou inadequação da despesa acarretará em glosa do valor</w:t>
            </w:r>
          </w:p>
          <w:p w:rsidR="002B15E5" w:rsidRPr="002B15E5" w:rsidRDefault="002B15E5" w:rsidP="003731FF">
            <w:pPr>
              <w:spacing w:line="360" w:lineRule="auto"/>
              <w:ind w:left="539"/>
              <w:jc w:val="both"/>
              <w:rPr>
                <w:rFonts w:ascii="Calibri" w:hAnsi="Calibri" w:cs="Arial"/>
                <w:noProof/>
              </w:rPr>
            </w:pPr>
            <w:r w:rsidRPr="002B15E5">
              <w:rPr>
                <w:rFonts w:ascii="Calibri" w:hAnsi="Calibri" w:cs="Arial"/>
                <w:noProof/>
              </w:rPr>
              <w:t>gasto e respectiva devolução do recurso ao município.</w:t>
            </w:r>
          </w:p>
          <w:p w:rsidR="002B15E5" w:rsidRPr="002B15E5" w:rsidRDefault="002B15E5" w:rsidP="002B15E5">
            <w:pPr>
              <w:spacing w:line="360" w:lineRule="auto"/>
              <w:ind w:left="539"/>
              <w:jc w:val="both"/>
              <w:rPr>
                <w:rFonts w:ascii="Calibri" w:hAnsi="Calibri" w:cs="Arial"/>
                <w:noProof/>
              </w:rPr>
            </w:pPr>
            <w:r w:rsidRPr="002B15E5">
              <w:rPr>
                <w:rFonts w:ascii="Calibri" w:hAnsi="Calibri" w:cs="Arial"/>
                <w:b/>
                <w:bCs/>
                <w:noProof/>
              </w:rPr>
              <w:t>IV</w:t>
            </w:r>
            <w:r w:rsidRPr="002B15E5">
              <w:rPr>
                <w:rFonts w:ascii="Calibri" w:hAnsi="Calibri" w:cs="Arial"/>
                <w:noProof/>
              </w:rPr>
              <w:t xml:space="preserve"> – Apresentação de declaração assinada pelo representante legal de que os documentos apresentados encontram-se com suas primeiras vias arquivadas e disponíveis para consulta. </w:t>
            </w:r>
            <w:r w:rsidRPr="002B15E5">
              <w:rPr>
                <w:rFonts w:ascii="Calibri" w:hAnsi="Calibri" w:cs="Arial"/>
                <w:b/>
                <w:bCs/>
                <w:noProof/>
              </w:rPr>
              <w:t>(ANEXO II)</w:t>
            </w:r>
          </w:p>
          <w:p w:rsidR="002B15E5" w:rsidRPr="002B15E5" w:rsidRDefault="002B15E5" w:rsidP="002B15E5">
            <w:pPr>
              <w:spacing w:line="360" w:lineRule="auto"/>
              <w:ind w:left="539"/>
              <w:jc w:val="both"/>
              <w:rPr>
                <w:rFonts w:ascii="Calibri" w:hAnsi="Calibri" w:cs="Arial"/>
                <w:noProof/>
              </w:rPr>
            </w:pPr>
            <w:r w:rsidRPr="002B15E5">
              <w:rPr>
                <w:rFonts w:ascii="Calibri" w:hAnsi="Calibri" w:cs="Arial"/>
                <w:b/>
                <w:bCs/>
                <w:noProof/>
              </w:rPr>
              <w:t>V –</w:t>
            </w:r>
            <w:r w:rsidRPr="002B15E5">
              <w:rPr>
                <w:rFonts w:ascii="Calibri" w:hAnsi="Calibri" w:cs="Arial"/>
                <w:noProof/>
              </w:rPr>
              <w:t xml:space="preserve"> Apresentação de declaração assinada pelo representante de que a escrituração do recurso recebido e seus gastos consta no livro caixa da empresa, ou no livro diário, juntamente com a cópia do mesmo. </w:t>
            </w:r>
            <w:r w:rsidRPr="002B15E5">
              <w:rPr>
                <w:rFonts w:ascii="Calibri" w:hAnsi="Calibri" w:cs="Arial"/>
                <w:b/>
                <w:bCs/>
                <w:noProof/>
              </w:rPr>
              <w:t>(ANEXO III)</w:t>
            </w:r>
          </w:p>
          <w:p w:rsidR="002B15E5" w:rsidRPr="002B15E5" w:rsidRDefault="002B15E5" w:rsidP="002B15E5">
            <w:pPr>
              <w:spacing w:line="360" w:lineRule="auto"/>
              <w:ind w:left="539"/>
              <w:jc w:val="both"/>
              <w:rPr>
                <w:rFonts w:ascii="Calibri" w:hAnsi="Calibri" w:cs="Arial"/>
                <w:noProof/>
              </w:rPr>
            </w:pPr>
            <w:r w:rsidRPr="002B15E5">
              <w:rPr>
                <w:rFonts w:ascii="Calibri" w:hAnsi="Calibri" w:cs="Arial"/>
                <w:b/>
                <w:bCs/>
                <w:noProof/>
              </w:rPr>
              <w:t>VI –</w:t>
            </w:r>
            <w:r w:rsidRPr="002B15E5">
              <w:rPr>
                <w:rFonts w:ascii="Calibri" w:hAnsi="Calibri" w:cs="Arial"/>
                <w:noProof/>
              </w:rPr>
              <w:t xml:space="preserve"> A não prestação de contas dentro do prazo estipulado na Lei Específica acarretará na suspenção dos repasses e, se dentro de 30 dias do prazo estipulado pela Lei Específica, a prestação de contas não for efetuada, será o responsável acionado para realizar a devolução do recurso.</w:t>
            </w:r>
          </w:p>
          <w:p w:rsidR="002B15E5" w:rsidRPr="002B15E5" w:rsidRDefault="002B15E5" w:rsidP="002B15E5">
            <w:pPr>
              <w:spacing w:line="360" w:lineRule="auto"/>
              <w:ind w:left="539"/>
              <w:jc w:val="both"/>
              <w:rPr>
                <w:rFonts w:ascii="Calibri" w:hAnsi="Calibri" w:cs="Arial"/>
                <w:noProof/>
              </w:rPr>
            </w:pPr>
            <w:r w:rsidRPr="002B15E5">
              <w:rPr>
                <w:rFonts w:ascii="Calibri" w:hAnsi="Calibri" w:cs="Arial"/>
                <w:b/>
                <w:bCs/>
                <w:noProof/>
              </w:rPr>
              <w:t>VII –</w:t>
            </w:r>
            <w:r w:rsidRPr="002B15E5">
              <w:rPr>
                <w:rFonts w:ascii="Calibri" w:hAnsi="Calibri" w:cs="Arial"/>
                <w:noProof/>
              </w:rPr>
              <w:t xml:space="preserve"> Em caso de não cumprimento do objeto dentro do prazo estipulado, poderá a entidade enviar justificativa apresentando novo prazo,</w:t>
            </w:r>
            <w:r w:rsidR="00AA2203">
              <w:rPr>
                <w:rFonts w:ascii="Calibri" w:hAnsi="Calibri" w:cs="Arial"/>
                <w:noProof/>
              </w:rPr>
              <w:t xml:space="preserve"> </w:t>
            </w:r>
            <w:r w:rsidRPr="002B15E5">
              <w:rPr>
                <w:rFonts w:ascii="Calibri" w:hAnsi="Calibri" w:cs="Arial"/>
                <w:noProof/>
              </w:rPr>
              <w:t xml:space="preserve"> a qual será apreciada pela administração que, após analisá-la, emitirá sua manifestão quanto</w:t>
            </w:r>
            <w:r w:rsidR="00AA2203">
              <w:rPr>
                <w:rFonts w:ascii="Calibri" w:hAnsi="Calibri" w:cs="Arial"/>
                <w:noProof/>
              </w:rPr>
              <w:t xml:space="preserve"> à possibilidade de prorrogá-lo. Essa justificativa poderá ser apresentada somente uma vez pela entidade.</w:t>
            </w:r>
          </w:p>
          <w:p w:rsidR="002B15E5" w:rsidRPr="002B15E5" w:rsidRDefault="002B15E5" w:rsidP="002B15E5">
            <w:pPr>
              <w:spacing w:line="360" w:lineRule="auto"/>
              <w:ind w:left="539"/>
              <w:jc w:val="both"/>
              <w:rPr>
                <w:rFonts w:ascii="Calibri" w:hAnsi="Calibri" w:cs="Arial"/>
                <w:b/>
                <w:bCs/>
                <w:noProof/>
              </w:rPr>
            </w:pPr>
            <w:r w:rsidRPr="002B15E5">
              <w:rPr>
                <w:rFonts w:ascii="Calibri" w:hAnsi="Calibri" w:cs="Arial"/>
                <w:b/>
                <w:bCs/>
                <w:noProof/>
              </w:rPr>
              <w:t>3.2 DAS RESPONSABILIDADES</w:t>
            </w:r>
          </w:p>
          <w:p w:rsidR="002B15E5" w:rsidRPr="002B15E5" w:rsidRDefault="002B15E5" w:rsidP="002B15E5">
            <w:pPr>
              <w:spacing w:line="360" w:lineRule="auto"/>
              <w:ind w:left="540"/>
              <w:jc w:val="both"/>
              <w:rPr>
                <w:rFonts w:ascii="Calibri" w:hAnsi="Calibri" w:cs="Arial"/>
              </w:rPr>
            </w:pPr>
            <w:r w:rsidRPr="002B15E5">
              <w:rPr>
                <w:rFonts w:ascii="Calibri" w:hAnsi="Calibri" w:cs="Arial"/>
              </w:rPr>
              <w:t xml:space="preserve"> 3.2.1 É de responsabilidade do responsável pela entidade beneficiada:</w:t>
            </w:r>
          </w:p>
          <w:p w:rsidR="002B15E5" w:rsidRPr="003731FF" w:rsidRDefault="002B15E5" w:rsidP="003731FF">
            <w:pPr>
              <w:spacing w:line="360" w:lineRule="auto"/>
              <w:ind w:left="540"/>
              <w:jc w:val="both"/>
              <w:rPr>
                <w:rFonts w:ascii="Calibri" w:hAnsi="Calibri" w:cs="Arial"/>
              </w:rPr>
            </w:pPr>
            <w:r w:rsidRPr="002B15E5">
              <w:rPr>
                <w:rFonts w:ascii="Calibri" w:hAnsi="Calibri" w:cs="Arial"/>
              </w:rPr>
              <w:t>- encaminhar o processo de prestação de contas à Secretaria da Fazenda, dentro do prazo estipulado em Lei Específica ou, mediante justificativa, encaminhar pedido de prorrogação de prazo;</w:t>
            </w:r>
          </w:p>
          <w:p w:rsidR="00D45BCA" w:rsidRDefault="00D45BCA" w:rsidP="002B15E5"/>
        </w:tc>
      </w:tr>
    </w:tbl>
    <w:p w:rsidR="002B7825" w:rsidRDefault="002B7825" w:rsidP="006A3E18"/>
    <w:tbl>
      <w:tblPr>
        <w:tblStyle w:val="Tabelacomgrade"/>
        <w:tblW w:w="9039" w:type="dxa"/>
        <w:tblLook w:val="04A0"/>
      </w:tblPr>
      <w:tblGrid>
        <w:gridCol w:w="4644"/>
        <w:gridCol w:w="4395"/>
      </w:tblGrid>
      <w:tr w:rsidR="002B15E5" w:rsidTr="00586DE8">
        <w:trPr>
          <w:trHeight w:val="827"/>
        </w:trPr>
        <w:tc>
          <w:tcPr>
            <w:tcW w:w="4644" w:type="dxa"/>
          </w:tcPr>
          <w:p w:rsidR="002B15E5" w:rsidRDefault="002B15E5" w:rsidP="00574E28"/>
          <w:p w:rsidR="002B15E5" w:rsidRDefault="00BC45A2" w:rsidP="00574E28">
            <w:r>
              <w:rPr>
                <w:noProof/>
                <w:lang w:eastAsia="pt-BR"/>
              </w:rPr>
              <w:pict>
                <v:shape id="_x0000_s1031" type="#_x0000_t32" style="position:absolute;margin-left:9.45pt;margin-top:7.95pt;width:186pt;height:0;flip:x;z-index:251667456" o:connectortype="straight"/>
              </w:pict>
            </w:r>
          </w:p>
          <w:p w:rsidR="002B15E5" w:rsidRDefault="006870ED" w:rsidP="00574E28">
            <w:pPr>
              <w:jc w:val="center"/>
            </w:pPr>
            <w:r>
              <w:t>UNIDADE CENTRAL DE CONTROLE INTERNO</w:t>
            </w:r>
          </w:p>
        </w:tc>
        <w:tc>
          <w:tcPr>
            <w:tcW w:w="4395" w:type="dxa"/>
          </w:tcPr>
          <w:p w:rsidR="002B15E5" w:rsidRDefault="002B15E5" w:rsidP="00574E28"/>
          <w:p w:rsidR="002B15E5" w:rsidRDefault="00BC45A2" w:rsidP="00574E28">
            <w:pPr>
              <w:jc w:val="center"/>
            </w:pPr>
            <w:r>
              <w:rPr>
                <w:noProof/>
                <w:lang w:eastAsia="pt-BR"/>
              </w:rPr>
              <w:pict>
                <v:shape id="_x0000_s1032" type="#_x0000_t32" style="position:absolute;left:0;text-align:left;margin-left:20.6pt;margin-top:7.95pt;width:172.5pt;height:0;z-index:251668480" o:connectortype="straight"/>
              </w:pict>
            </w:r>
          </w:p>
          <w:p w:rsidR="002B15E5" w:rsidRDefault="002B15E5" w:rsidP="00574E28">
            <w:pPr>
              <w:jc w:val="center"/>
            </w:pPr>
            <w:r>
              <w:t>VISTO DO PREFEITO MUNICIPAL</w:t>
            </w:r>
          </w:p>
        </w:tc>
      </w:tr>
    </w:tbl>
    <w:p w:rsidR="002B15E5" w:rsidRDefault="002B15E5" w:rsidP="006A3E18"/>
    <w:tbl>
      <w:tblPr>
        <w:tblStyle w:val="Tabelacomgrade"/>
        <w:tblW w:w="9039" w:type="dxa"/>
        <w:tblLook w:val="04A0"/>
      </w:tblPr>
      <w:tblGrid>
        <w:gridCol w:w="9039"/>
      </w:tblGrid>
      <w:tr w:rsidR="00310903" w:rsidTr="001A2A50">
        <w:trPr>
          <w:trHeight w:val="11956"/>
        </w:trPr>
        <w:tc>
          <w:tcPr>
            <w:tcW w:w="9039" w:type="dxa"/>
          </w:tcPr>
          <w:p w:rsidR="00310903" w:rsidRPr="00310903" w:rsidRDefault="00310903" w:rsidP="00310903">
            <w:pPr>
              <w:numPr>
                <w:ilvl w:val="2"/>
                <w:numId w:val="1"/>
              </w:numPr>
              <w:spacing w:line="360" w:lineRule="auto"/>
              <w:jc w:val="both"/>
              <w:rPr>
                <w:rFonts w:ascii="Calibri" w:hAnsi="Calibri" w:cs="Arial"/>
              </w:rPr>
            </w:pPr>
            <w:r w:rsidRPr="00310903">
              <w:rPr>
                <w:rFonts w:ascii="Calibri" w:hAnsi="Calibri" w:cs="Arial"/>
              </w:rPr>
              <w:lastRenderedPageBreak/>
              <w:t>É de responsabilidade da Secretaria da Fazenda:</w:t>
            </w:r>
          </w:p>
          <w:p w:rsidR="00310903" w:rsidRPr="00310903" w:rsidRDefault="00310903" w:rsidP="0031090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310903">
              <w:rPr>
                <w:rFonts w:ascii="Calibri" w:hAnsi="Calibri" w:cs="Arial"/>
              </w:rPr>
              <w:t>realizar</w:t>
            </w:r>
            <w:proofErr w:type="gramEnd"/>
            <w:r w:rsidRPr="00310903">
              <w:rPr>
                <w:rFonts w:ascii="Calibri" w:hAnsi="Calibri" w:cs="Arial"/>
              </w:rPr>
              <w:t xml:space="preserve"> a conferência da prestação de contas, no que tange aos aspectos contábeis, apondo assinatura no processo;</w:t>
            </w:r>
          </w:p>
          <w:p w:rsidR="00310903" w:rsidRPr="00310903" w:rsidRDefault="00310903" w:rsidP="0031090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310903">
              <w:rPr>
                <w:rFonts w:ascii="Calibri" w:hAnsi="Calibri" w:cs="Arial"/>
              </w:rPr>
              <w:t>enviar</w:t>
            </w:r>
            <w:proofErr w:type="gramEnd"/>
            <w:r w:rsidRPr="00310903">
              <w:rPr>
                <w:rFonts w:ascii="Calibri" w:hAnsi="Calibri" w:cs="Arial"/>
              </w:rPr>
              <w:t xml:space="preserve"> a prestação de contas à Secretaria Responsável pela concessão para que confira a adequação dos gastos ao objeto designado, apondo o secretário ou responsável pela conferência a sua assinatura; </w:t>
            </w:r>
          </w:p>
          <w:p w:rsidR="00C461A2" w:rsidRPr="00C461A2" w:rsidRDefault="00C461A2" w:rsidP="00C461A2">
            <w:pPr>
              <w:pStyle w:val="PargrafodaLista"/>
              <w:numPr>
                <w:ilvl w:val="2"/>
                <w:numId w:val="1"/>
              </w:numPr>
              <w:spacing w:line="360" w:lineRule="auto"/>
              <w:jc w:val="both"/>
              <w:rPr>
                <w:rFonts w:ascii="Calibri" w:hAnsi="Calibri" w:cs="Arial"/>
              </w:rPr>
            </w:pPr>
            <w:r w:rsidRPr="00C461A2">
              <w:rPr>
                <w:rFonts w:ascii="Calibri" w:hAnsi="Calibri" w:cs="Arial"/>
              </w:rPr>
              <w:t>É de responsabilidade da Secretaria de Administração:</w:t>
            </w:r>
          </w:p>
          <w:p w:rsidR="00C461A2" w:rsidRDefault="00C461A2" w:rsidP="00C461A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310903">
              <w:rPr>
                <w:rFonts w:ascii="Calibri" w:hAnsi="Calibri" w:cs="Arial"/>
              </w:rPr>
              <w:t>orientar</w:t>
            </w:r>
            <w:proofErr w:type="gramEnd"/>
            <w:r w:rsidRPr="00310903">
              <w:rPr>
                <w:rFonts w:ascii="Calibri" w:hAnsi="Calibri" w:cs="Arial"/>
              </w:rPr>
              <w:t xml:space="preserve"> as entidades beneficiadas no que tange ao processo de prestação de contas em eventuais dúvidas de preenchimento e de documentos que poderão ser aceitos;</w:t>
            </w:r>
          </w:p>
          <w:p w:rsidR="00691E91" w:rsidRPr="00691E91" w:rsidRDefault="00691E91" w:rsidP="00691E9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c</w:t>
            </w:r>
            <w:r w:rsidR="00C461A2" w:rsidRPr="00310903">
              <w:rPr>
                <w:rFonts w:ascii="Calibri" w:hAnsi="Calibri" w:cs="Arial"/>
              </w:rPr>
              <w:t>ontrolar</w:t>
            </w:r>
            <w:proofErr w:type="gramEnd"/>
            <w:r w:rsidR="00C461A2" w:rsidRPr="00310903">
              <w:rPr>
                <w:rFonts w:ascii="Calibri" w:hAnsi="Calibri" w:cs="Arial"/>
              </w:rPr>
              <w:t xml:space="preserve"> os prazos das prestações de contas, inclusive entrando em contato com as entidades para alertá-las dos prazos, caso até a data estabelecida a prestação de contas não tenha chegado à Secretaria.</w:t>
            </w:r>
          </w:p>
          <w:p w:rsidR="00803285" w:rsidRDefault="00235CAE" w:rsidP="00691E91">
            <w:pPr>
              <w:pStyle w:val="PargrafodaLista"/>
              <w:numPr>
                <w:ilvl w:val="2"/>
                <w:numId w:val="1"/>
              </w:numPr>
              <w:spacing w:line="360" w:lineRule="auto"/>
              <w:jc w:val="both"/>
              <w:rPr>
                <w:rFonts w:ascii="Calibri" w:hAnsi="Calibri" w:cs="Arial"/>
              </w:rPr>
            </w:pPr>
            <w:r w:rsidRPr="00235CAE">
              <w:rPr>
                <w:rFonts w:ascii="Calibri" w:hAnsi="Calibri" w:cs="Arial"/>
              </w:rPr>
              <w:t>É de responsabilidade da Comissão de Convênios, auxílios e subvenções:</w:t>
            </w:r>
          </w:p>
          <w:p w:rsidR="00691E91" w:rsidRPr="00691E91" w:rsidRDefault="00691E91" w:rsidP="00691E91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924" w:hanging="357"/>
              <w:jc w:val="both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analisar</w:t>
            </w:r>
            <w:proofErr w:type="gramEnd"/>
            <w:r>
              <w:rPr>
                <w:rFonts w:ascii="Calibri" w:hAnsi="Calibri" w:cs="Arial"/>
              </w:rPr>
              <w:t xml:space="preserve"> a documentação da prestação de contas após conferência e assinatura da Secretaria da Fazenda e Secretaria Responsável pela concessão do convênio, e dar o seu parecer.</w:t>
            </w:r>
          </w:p>
          <w:p w:rsidR="00310903" w:rsidRPr="00310903" w:rsidRDefault="00310903" w:rsidP="00310903">
            <w:pPr>
              <w:spacing w:line="360" w:lineRule="auto"/>
              <w:jc w:val="both"/>
              <w:rPr>
                <w:rFonts w:ascii="Calibri" w:hAnsi="Calibri" w:cs="Arial"/>
                <w:b/>
                <w:bCs/>
              </w:rPr>
            </w:pPr>
            <w:r w:rsidRPr="00310903">
              <w:rPr>
                <w:rFonts w:ascii="Calibri" w:hAnsi="Calibri" w:cs="Arial"/>
                <w:b/>
                <w:bCs/>
              </w:rPr>
              <w:t>4- DAS DISPOSIÇÕES GERAIS</w:t>
            </w:r>
          </w:p>
          <w:p w:rsidR="00310903" w:rsidRPr="00310903" w:rsidRDefault="00310903" w:rsidP="00310903">
            <w:pPr>
              <w:pStyle w:val="Recuodecorpodetexto2"/>
              <w:rPr>
                <w:rFonts w:ascii="Calibri" w:hAnsi="Calibri"/>
                <w:noProof w:val="0"/>
              </w:rPr>
            </w:pPr>
            <w:proofErr w:type="gramStart"/>
            <w:r w:rsidRPr="00310903">
              <w:rPr>
                <w:rFonts w:ascii="Calibri" w:hAnsi="Calibri"/>
                <w:b/>
                <w:bCs/>
                <w:noProof w:val="0"/>
              </w:rPr>
              <w:t>4.1</w:t>
            </w:r>
            <w:r w:rsidRPr="00310903">
              <w:rPr>
                <w:rFonts w:ascii="Calibri" w:hAnsi="Calibri"/>
                <w:noProof w:val="0"/>
              </w:rPr>
              <w:t xml:space="preserve"> Qualquer</w:t>
            </w:r>
            <w:proofErr w:type="gramEnd"/>
            <w:r w:rsidRPr="00310903">
              <w:rPr>
                <w:rFonts w:ascii="Calibri" w:hAnsi="Calibri"/>
                <w:noProof w:val="0"/>
              </w:rPr>
              <w:t xml:space="preserve"> dúvida ou omissão relativa a essa norma deverá ser avaliada junto à Coordenadoria do Controle Interno.</w:t>
            </w:r>
          </w:p>
          <w:p w:rsidR="00310903" w:rsidRPr="00310903" w:rsidRDefault="00310903" w:rsidP="00310903">
            <w:pPr>
              <w:spacing w:line="360" w:lineRule="auto"/>
              <w:ind w:left="540"/>
              <w:jc w:val="both"/>
              <w:rPr>
                <w:rFonts w:ascii="Calibri" w:hAnsi="Calibri" w:cs="Arial"/>
              </w:rPr>
            </w:pPr>
            <w:r w:rsidRPr="00310903">
              <w:rPr>
                <w:rFonts w:ascii="Calibri" w:hAnsi="Calibri" w:cs="Arial"/>
                <w:b/>
                <w:bCs/>
              </w:rPr>
              <w:t>4.2</w:t>
            </w:r>
            <w:r w:rsidRPr="00310903">
              <w:rPr>
                <w:rFonts w:ascii="Calibri" w:hAnsi="Calibri" w:cs="Arial"/>
              </w:rPr>
              <w:t xml:space="preserve"> </w:t>
            </w:r>
            <w:proofErr w:type="gramStart"/>
            <w:r w:rsidRPr="00310903">
              <w:rPr>
                <w:rFonts w:ascii="Calibri" w:hAnsi="Calibri" w:cs="Arial"/>
              </w:rPr>
              <w:t>Cabe</w:t>
            </w:r>
            <w:proofErr w:type="gramEnd"/>
            <w:r w:rsidRPr="00310903">
              <w:rPr>
                <w:rFonts w:ascii="Calibri" w:hAnsi="Calibri" w:cs="Arial"/>
              </w:rPr>
              <w:t xml:space="preserve"> a Secretaria de Administração enviar a presente norma às Secretarias e divulgá-la.</w:t>
            </w:r>
          </w:p>
          <w:p w:rsidR="00310903" w:rsidRPr="00310903" w:rsidRDefault="00310903" w:rsidP="00310903">
            <w:pPr>
              <w:spacing w:line="360" w:lineRule="auto"/>
              <w:ind w:left="540"/>
              <w:jc w:val="both"/>
              <w:rPr>
                <w:rFonts w:ascii="Calibri" w:hAnsi="Calibri" w:cs="Arial"/>
              </w:rPr>
            </w:pPr>
            <w:r w:rsidRPr="00310903">
              <w:rPr>
                <w:rFonts w:ascii="Calibri" w:hAnsi="Calibri" w:cs="Arial"/>
                <w:b/>
                <w:bCs/>
              </w:rPr>
              <w:t xml:space="preserve">4.3 </w:t>
            </w:r>
            <w:r w:rsidRPr="00310903">
              <w:rPr>
                <w:rFonts w:ascii="Calibri" w:hAnsi="Calibri" w:cs="Arial"/>
              </w:rPr>
              <w:t xml:space="preserve">O não envio das Legislações que concedem as subvenções e auxílios, bem como do Plano de aplicação da entidade e demais documentos do processo à Secretaria da Fazenda, para que </w:t>
            </w:r>
            <w:r w:rsidR="009F0983" w:rsidRPr="00310903">
              <w:rPr>
                <w:rFonts w:ascii="Calibri" w:hAnsi="Calibri" w:cs="Arial"/>
              </w:rPr>
              <w:t>proceda aos</w:t>
            </w:r>
            <w:r w:rsidRPr="00310903">
              <w:rPr>
                <w:rFonts w:ascii="Calibri" w:hAnsi="Calibri" w:cs="Arial"/>
              </w:rPr>
              <w:t xml:space="preserve"> controles necessários, acarretará à Secretaria que concedeu o recurso orientar o processo de prestação de contas e responder por</w:t>
            </w:r>
            <w:r>
              <w:rPr>
                <w:rFonts w:ascii="Calibri" w:hAnsi="Calibri" w:cs="Arial"/>
              </w:rPr>
              <w:t xml:space="preserve"> </w:t>
            </w:r>
            <w:r w:rsidRPr="00310903">
              <w:rPr>
                <w:rFonts w:ascii="Calibri" w:hAnsi="Calibri" w:cs="Arial"/>
              </w:rPr>
              <w:t>irregularidades no processo junto aos órgãos fiscalizadores.</w:t>
            </w:r>
          </w:p>
          <w:p w:rsidR="00310903" w:rsidRDefault="00310903" w:rsidP="00310903"/>
          <w:p w:rsidR="001A2A50" w:rsidRDefault="001A2A50" w:rsidP="00310903"/>
        </w:tc>
      </w:tr>
    </w:tbl>
    <w:p w:rsidR="00310903" w:rsidRDefault="00310903" w:rsidP="006A3E18"/>
    <w:tbl>
      <w:tblPr>
        <w:tblStyle w:val="Tabelacomgrade"/>
        <w:tblW w:w="9039" w:type="dxa"/>
        <w:tblLook w:val="04A0"/>
      </w:tblPr>
      <w:tblGrid>
        <w:gridCol w:w="4644"/>
        <w:gridCol w:w="4395"/>
      </w:tblGrid>
      <w:tr w:rsidR="001A2A50" w:rsidTr="000164F9">
        <w:trPr>
          <w:trHeight w:val="827"/>
        </w:trPr>
        <w:tc>
          <w:tcPr>
            <w:tcW w:w="4644" w:type="dxa"/>
          </w:tcPr>
          <w:p w:rsidR="001A2A50" w:rsidRDefault="001A2A50" w:rsidP="000164F9"/>
          <w:p w:rsidR="001A2A50" w:rsidRDefault="00BC45A2" w:rsidP="000164F9">
            <w:r>
              <w:rPr>
                <w:noProof/>
                <w:lang w:eastAsia="pt-BR"/>
              </w:rPr>
              <w:pict>
                <v:shape id="_x0000_s1035" type="#_x0000_t32" style="position:absolute;margin-left:9.45pt;margin-top:7.95pt;width:186pt;height:0;flip:x;z-index:251670528" o:connectortype="straight"/>
              </w:pict>
            </w:r>
          </w:p>
          <w:p w:rsidR="001A2A50" w:rsidRDefault="006870ED" w:rsidP="000164F9">
            <w:pPr>
              <w:jc w:val="center"/>
            </w:pPr>
            <w:r>
              <w:t>UNIDADE CENTRAL DE CONTROLE INTERNO</w:t>
            </w:r>
          </w:p>
        </w:tc>
        <w:tc>
          <w:tcPr>
            <w:tcW w:w="4395" w:type="dxa"/>
          </w:tcPr>
          <w:p w:rsidR="001A2A50" w:rsidRDefault="001A2A50" w:rsidP="000164F9"/>
          <w:p w:rsidR="001A2A50" w:rsidRDefault="00BC45A2" w:rsidP="000164F9">
            <w:pPr>
              <w:jc w:val="center"/>
            </w:pPr>
            <w:r>
              <w:rPr>
                <w:noProof/>
                <w:lang w:eastAsia="pt-BR"/>
              </w:rPr>
              <w:pict>
                <v:shape id="_x0000_s1036" type="#_x0000_t32" style="position:absolute;left:0;text-align:left;margin-left:20.6pt;margin-top:7.95pt;width:172.5pt;height:0;z-index:251671552" o:connectortype="straight"/>
              </w:pict>
            </w:r>
          </w:p>
          <w:p w:rsidR="001A2A50" w:rsidRDefault="001A2A50" w:rsidP="000164F9">
            <w:pPr>
              <w:jc w:val="center"/>
            </w:pPr>
            <w:r>
              <w:t>VISTO DO PREFEITO MUNICIPAL</w:t>
            </w:r>
          </w:p>
        </w:tc>
      </w:tr>
    </w:tbl>
    <w:p w:rsidR="001A2A50" w:rsidRPr="006A3E18" w:rsidRDefault="001A2A50" w:rsidP="003731FF"/>
    <w:sectPr w:rsidR="001A2A50" w:rsidRPr="006A3E18" w:rsidSect="00EF2C7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D9" w:rsidRDefault="00DB25D9" w:rsidP="006870ED">
      <w:pPr>
        <w:spacing w:after="0" w:line="240" w:lineRule="auto"/>
      </w:pPr>
      <w:r>
        <w:separator/>
      </w:r>
    </w:p>
  </w:endnote>
  <w:endnote w:type="continuationSeparator" w:id="0">
    <w:p w:rsidR="00DB25D9" w:rsidRDefault="00DB25D9" w:rsidP="0068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D9" w:rsidRDefault="00DB25D9" w:rsidP="006870ED">
      <w:pPr>
        <w:spacing w:after="0" w:line="240" w:lineRule="auto"/>
      </w:pPr>
      <w:r>
        <w:separator/>
      </w:r>
    </w:p>
  </w:footnote>
  <w:footnote w:type="continuationSeparator" w:id="0">
    <w:p w:rsidR="00DB25D9" w:rsidRDefault="00DB25D9" w:rsidP="0068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626"/>
      <w:docPartObj>
        <w:docPartGallery w:val="Page Numbers (Top of Page)"/>
        <w:docPartUnique/>
      </w:docPartObj>
    </w:sdtPr>
    <w:sdtContent>
      <w:p w:rsidR="006870ED" w:rsidRDefault="00BC45A2">
        <w:pPr>
          <w:pStyle w:val="Cabealho"/>
          <w:jc w:val="right"/>
        </w:pPr>
        <w:fldSimple w:instr=" PAGE   \* MERGEFORMAT ">
          <w:r w:rsidR="005553E6">
            <w:rPr>
              <w:noProof/>
            </w:rPr>
            <w:t>1</w:t>
          </w:r>
        </w:fldSimple>
      </w:p>
    </w:sdtContent>
  </w:sdt>
  <w:p w:rsidR="006870ED" w:rsidRDefault="006870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86"/>
    <w:multiLevelType w:val="multilevel"/>
    <w:tmpl w:val="7E38B0D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12416E66"/>
    <w:multiLevelType w:val="hybridMultilevel"/>
    <w:tmpl w:val="53B470F8"/>
    <w:lvl w:ilvl="0" w:tplc="265889A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34E56B3"/>
    <w:multiLevelType w:val="hybridMultilevel"/>
    <w:tmpl w:val="D62605BE"/>
    <w:lvl w:ilvl="0" w:tplc="265889A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E18"/>
    <w:rsid w:val="00021425"/>
    <w:rsid w:val="000A2F64"/>
    <w:rsid w:val="000D6166"/>
    <w:rsid w:val="000D6E17"/>
    <w:rsid w:val="001A2A50"/>
    <w:rsid w:val="00235CAE"/>
    <w:rsid w:val="002B15E5"/>
    <w:rsid w:val="002B7825"/>
    <w:rsid w:val="00310903"/>
    <w:rsid w:val="0035402F"/>
    <w:rsid w:val="003731FF"/>
    <w:rsid w:val="003B6049"/>
    <w:rsid w:val="003E2019"/>
    <w:rsid w:val="004270C3"/>
    <w:rsid w:val="004640ED"/>
    <w:rsid w:val="005553E6"/>
    <w:rsid w:val="00586DE8"/>
    <w:rsid w:val="005B0BBD"/>
    <w:rsid w:val="005B2BAF"/>
    <w:rsid w:val="0064691E"/>
    <w:rsid w:val="00682CC9"/>
    <w:rsid w:val="006870ED"/>
    <w:rsid w:val="00691E91"/>
    <w:rsid w:val="006A3E18"/>
    <w:rsid w:val="00701A87"/>
    <w:rsid w:val="00710EC3"/>
    <w:rsid w:val="0073162F"/>
    <w:rsid w:val="00803285"/>
    <w:rsid w:val="009F0983"/>
    <w:rsid w:val="00A52ACB"/>
    <w:rsid w:val="00AA2203"/>
    <w:rsid w:val="00B03175"/>
    <w:rsid w:val="00B17DC9"/>
    <w:rsid w:val="00B32297"/>
    <w:rsid w:val="00B81DB9"/>
    <w:rsid w:val="00BC45A2"/>
    <w:rsid w:val="00BE7431"/>
    <w:rsid w:val="00C461A2"/>
    <w:rsid w:val="00CA2649"/>
    <w:rsid w:val="00CB7F67"/>
    <w:rsid w:val="00D45BCA"/>
    <w:rsid w:val="00D66BAB"/>
    <w:rsid w:val="00D73D1C"/>
    <w:rsid w:val="00DB25D9"/>
    <w:rsid w:val="00DC43C5"/>
    <w:rsid w:val="00E56CB0"/>
    <w:rsid w:val="00E90D0C"/>
    <w:rsid w:val="00EB09FC"/>
    <w:rsid w:val="00EF2C7C"/>
    <w:rsid w:val="00F87247"/>
    <w:rsid w:val="00FA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2"/>
        <o:r id="V:Rule10" type="connector" idref="#_x0000_s1030"/>
        <o:r id="V:Rule11" type="connector" idref="#_x0000_s1028"/>
        <o:r id="V:Rule12" type="connector" idref="#_x0000_s1031"/>
        <o:r id="V:Rule13" type="connector" idref="#_x0000_s1036"/>
        <o:r id="V:Rule14" type="connector" idref="#_x0000_s1029"/>
        <o:r id="V:Rule15" type="connector" idref="#_x0000_s1035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C3"/>
  </w:style>
  <w:style w:type="paragraph" w:styleId="Ttulo2">
    <w:name w:val="heading 2"/>
    <w:basedOn w:val="Normal"/>
    <w:next w:val="Normal"/>
    <w:link w:val="Ttulo2Char"/>
    <w:qFormat/>
    <w:rsid w:val="00EF2C7C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b/>
      <w:bCs/>
      <w:noProof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1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DB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F2C7C"/>
    <w:rPr>
      <w:rFonts w:ascii="Arial" w:eastAsia="Times New Roman" w:hAnsi="Arial" w:cs="Arial"/>
      <w:b/>
      <w:bCs/>
      <w:noProof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F2C7C"/>
    <w:pPr>
      <w:spacing w:after="0" w:line="360" w:lineRule="auto"/>
      <w:ind w:left="540"/>
      <w:jc w:val="both"/>
    </w:pPr>
    <w:rPr>
      <w:rFonts w:ascii="Arial" w:eastAsia="Times New Roman" w:hAnsi="Arial" w:cs="Arial"/>
      <w:noProof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F2C7C"/>
    <w:rPr>
      <w:rFonts w:ascii="Arial" w:eastAsia="Times New Roman" w:hAnsi="Arial" w:cs="Arial"/>
      <w:noProof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EF2C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F2C7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0ED"/>
  </w:style>
  <w:style w:type="paragraph" w:styleId="Rodap">
    <w:name w:val="footer"/>
    <w:basedOn w:val="Normal"/>
    <w:link w:val="RodapChar"/>
    <w:uiPriority w:val="99"/>
    <w:semiHidden/>
    <w:unhideWhenUsed/>
    <w:rsid w:val="0068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70ED"/>
  </w:style>
  <w:style w:type="paragraph" w:styleId="PargrafodaLista">
    <w:name w:val="List Paragraph"/>
    <w:basedOn w:val="Normal"/>
    <w:uiPriority w:val="34"/>
    <w:qFormat/>
    <w:rsid w:val="00C4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6409-EDE8-43AD-9558-E74E0D11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dborba</dc:creator>
  <cp:lastModifiedBy>creis</cp:lastModifiedBy>
  <cp:revision>2</cp:revision>
  <dcterms:created xsi:type="dcterms:W3CDTF">2015-01-14T13:59:00Z</dcterms:created>
  <dcterms:modified xsi:type="dcterms:W3CDTF">2015-01-14T13:59:00Z</dcterms:modified>
</cp:coreProperties>
</file>